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F" w:rsidRPr="002158FA" w:rsidRDefault="005776D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33E7F" w:rsidRPr="002158FA" w:rsidRDefault="005776D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33E7F" w:rsidRPr="002158FA" w:rsidRDefault="005776D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33E7F" w:rsidRPr="002158FA" w:rsidRDefault="005776D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433E7F" w:rsidRPr="002158FA" w:rsidRDefault="00433E7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06-2/265-17</w:t>
      </w:r>
    </w:p>
    <w:p w:rsidR="00433E7F" w:rsidRPr="002158FA" w:rsidRDefault="00B8375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33E7F" w:rsidRPr="002158FA" w:rsidRDefault="005776D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3E7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D374B5" w:rsidRDefault="00D374B5" w:rsidP="00215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492" w:rsidRPr="00BE2492" w:rsidRDefault="00BE2492" w:rsidP="00215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3752" w:rsidRPr="002158FA" w:rsidRDefault="005776D2" w:rsidP="0035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B83752" w:rsidRPr="002158FA" w:rsidRDefault="00B83752" w:rsidP="0035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83752" w:rsidRPr="002158FA" w:rsidRDefault="005776D2" w:rsidP="00350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8375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375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B83752" w:rsidRPr="002158F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8375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B8375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83752" w:rsidRPr="002158FA" w:rsidRDefault="00B83752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158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3752" w:rsidRPr="002158FA" w:rsidRDefault="00350247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B12454">
        <w:rPr>
          <w:rFonts w:ascii="Times New Roman" w:eastAsia="Times New Roman" w:hAnsi="Times New Roman" w:cs="Times New Roman"/>
          <w:sz w:val="24"/>
          <w:szCs w:val="24"/>
        </w:rPr>
        <w:t>,02</w:t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B8375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2D4BA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2158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0E9F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124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85CCE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Mijailović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85CCE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Milesa</w:t>
      </w:r>
      <w:r w:rsidR="00185CCE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185CCE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185CCE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C7242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242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C7242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C7242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C72425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Vasović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Vera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Savatović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Eremija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Predić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Vanja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B1245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Renata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Pindžo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F50E9F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Dokić</w:t>
      </w:r>
      <w:r w:rsidR="00BE2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E2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71A81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3752" w:rsidRPr="002158FA" w:rsidRDefault="00B83752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E36E10" w:rsidRPr="002158FA" w:rsidRDefault="00E36E10" w:rsidP="002158F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6E10" w:rsidRPr="002158FA" w:rsidRDefault="005776D2" w:rsidP="00BE2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36E10" w:rsidRPr="00215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E36E10" w:rsidRPr="002158FA" w:rsidRDefault="00E36E10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6E10" w:rsidRPr="002158FA" w:rsidRDefault="005776D2" w:rsidP="002158FA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E36E10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E36E10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E36E10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E36E10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budžetu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godinu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21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privrede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28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rudarstva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681B2C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energetike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Razdeo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32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8556C9" w:rsidRPr="002158FA">
        <w:rPr>
          <w:rFonts w:cs="Times New Roman"/>
          <w:sz w:val="24"/>
          <w:szCs w:val="24"/>
          <w:lang w:val="sr-Cyrl-RS"/>
        </w:rPr>
        <w:t>,</w:t>
      </w:r>
      <w:r w:rsidR="00BE249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turizma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BE2492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BE2492">
        <w:rPr>
          <w:rFonts w:cs="Times New Roman"/>
          <w:sz w:val="24"/>
          <w:szCs w:val="24"/>
          <w:lang w:val="sr-Cyrl-RS"/>
        </w:rPr>
        <w:t xml:space="preserve"> 400-3761/17 </w:t>
      </w:r>
      <w:r>
        <w:rPr>
          <w:rFonts w:cs="Times New Roman"/>
          <w:sz w:val="24"/>
          <w:szCs w:val="24"/>
          <w:lang w:val="sr-Cyrl-RS"/>
        </w:rPr>
        <w:t>od</w:t>
      </w:r>
      <w:r w:rsidR="00BE2492">
        <w:rPr>
          <w:rFonts w:cs="Times New Roman"/>
          <w:sz w:val="24"/>
          <w:szCs w:val="24"/>
          <w:lang w:val="sr-Cyrl-RS"/>
        </w:rPr>
        <w:t xml:space="preserve"> 30. </w:t>
      </w:r>
      <w:r>
        <w:rPr>
          <w:rFonts w:cs="Times New Roman"/>
          <w:sz w:val="24"/>
          <w:szCs w:val="24"/>
          <w:lang w:val="sr-Cyrl-RS"/>
        </w:rPr>
        <w:t>novembra</w:t>
      </w:r>
      <w:r w:rsidR="008556C9" w:rsidRPr="002158FA"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 w:rsidR="008556C9" w:rsidRPr="002158FA">
        <w:rPr>
          <w:rFonts w:cs="Times New Roman"/>
          <w:sz w:val="24"/>
          <w:szCs w:val="24"/>
          <w:lang w:val="sr-Cyrl-RS"/>
        </w:rPr>
        <w:t>).</w:t>
      </w:r>
    </w:p>
    <w:p w:rsidR="00F867F7" w:rsidRPr="002158FA" w:rsidRDefault="00F867F7" w:rsidP="002158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7F7" w:rsidRPr="002158FA" w:rsidRDefault="00BE2492" w:rsidP="002158FA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67F7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6E10" w:rsidRPr="002158FA" w:rsidRDefault="00E36E10" w:rsidP="002158FA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DD24D2" w:rsidRPr="002158FA" w:rsidRDefault="005776D2" w:rsidP="00ED3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D07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07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DD24D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DD24D2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budžetu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F1F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rudarstva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energetike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</w:t>
      </w:r>
      <w:r w:rsidR="00847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476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D24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5C55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C55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C55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C55D2" w:rsidRPr="00215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477636" w:rsidRPr="002158FA" w:rsidRDefault="00477636" w:rsidP="00215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77636" w:rsidRPr="002158FA" w:rsidRDefault="0047763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F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776D2">
        <w:rPr>
          <w:rFonts w:ascii="Times New Roman" w:hAnsi="Times New Roman" w:cs="Times New Roman"/>
          <w:sz w:val="24"/>
          <w:szCs w:val="24"/>
        </w:rPr>
        <w:t>a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osnovu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člana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173</w:t>
      </w:r>
      <w:r w:rsidRPr="002158FA">
        <w:rPr>
          <w:rFonts w:ascii="Times New Roman" w:hAnsi="Times New Roman" w:cs="Times New Roman"/>
          <w:sz w:val="24"/>
          <w:szCs w:val="24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proofErr w:type="gramStart"/>
      <w:r w:rsidR="005776D2">
        <w:rPr>
          <w:rFonts w:ascii="Times New Roman" w:hAnsi="Times New Roman" w:cs="Times New Roman"/>
          <w:sz w:val="24"/>
          <w:szCs w:val="24"/>
        </w:rPr>
        <w:t>Poslovnika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Narodne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</w:rPr>
        <w:t>podneo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Odboru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za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finansije</w:t>
      </w:r>
      <w:r w:rsidRPr="002158FA">
        <w:rPr>
          <w:rFonts w:ascii="Times New Roman" w:hAnsi="Times New Roman" w:cs="Times New Roman"/>
          <w:sz w:val="24"/>
          <w:szCs w:val="24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</w:rPr>
        <w:t>republički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budžet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i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kontrolu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trošenja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javnih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sredstava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86C2C" w:rsidRPr="002158FA" w:rsidRDefault="0047763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195FB2" w:rsidRDefault="00350247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477636" w:rsidRPr="002158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Nenad</w:t>
      </w:r>
      <w:r w:rsidR="00ED1651" w:rsidRPr="00350247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Mijailović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1651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CS"/>
        </w:rPr>
        <w:t>držav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776D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86C2C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B138B7" w:rsidRPr="002158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693D91" w:rsidRPr="002158FA">
        <w:rPr>
          <w:rFonts w:ascii="Times New Roman" w:hAnsi="Times New Roman" w:cs="Times New Roman"/>
          <w:sz w:val="24"/>
          <w:szCs w:val="24"/>
        </w:rPr>
        <w:t>,</w:t>
      </w:r>
      <w:r w:rsidRPr="00350247"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69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B138B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E4F2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4F2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4F2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4F2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poslednjim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sprovedenim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izvršenjima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suficit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75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premašilo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očekivanja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Suficit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ED16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ukupnih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601C0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predviđenih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polovine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povećenje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trajnog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različiti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oblici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indirektnih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4E56A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indikator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jačanja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jednokratne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dividende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naplaćene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EPS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278C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293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naplata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E117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discipline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preduzima</w:t>
      </w:r>
      <w:r w:rsidR="00CC10C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Poreska</w:t>
      </w:r>
      <w:r w:rsidR="00FE3F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najznačajniji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pad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kamate</w:t>
      </w:r>
      <w:r w:rsidR="00C074A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10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finansiranjem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deficita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kamatnih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usvajan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slabije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7151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ED3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manjkavosti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izvođenju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postimplementaciji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pomenuta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očekuju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suficitom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3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952EA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seta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ispunjen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neophodnih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monetarnim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fondom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55B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zvanično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693D9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usvajan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budžetski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792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6,6%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2%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strukturno</w:t>
      </w:r>
      <w:r w:rsidR="002E3AA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smanji</w:t>
      </w:r>
      <w:r w:rsidR="002E3A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4%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celih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ED28F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procentnih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poena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ugrožen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paralelnog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konsolidacije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realnim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rastom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2 %.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271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značajniji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E0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uzrok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niže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slabijoj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prizvodnji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uglja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teških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vremenskih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podbacila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suše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A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smanjeno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duga</w:t>
      </w:r>
      <w:r w:rsidR="003E2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63%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inflacija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2, 8%.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direktne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E672A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pokrivaju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tekućeg</w:t>
      </w:r>
      <w:r w:rsidR="003D00B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platnog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bilansa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Makroekonomska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stabilna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uliva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optimizam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111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rađen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konzervativno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prihodnoj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3B2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dugoročno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akciza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agresivnog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značajnog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sive</w:t>
      </w:r>
      <w:r w:rsidR="0003061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ekonomije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Ministrastvo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1C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oprezno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projektovanje</w:t>
      </w:r>
      <w:r w:rsidR="0084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pojavljuju</w:t>
      </w:r>
      <w:r w:rsidR="001D1C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neporeski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većem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planiranog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dividendi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0396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oprezno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planiraju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dobrog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iskorišćen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579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penzija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799" w:rsidRPr="002158FA">
        <w:rPr>
          <w:rFonts w:ascii="Times New Roman" w:hAnsi="Times New Roman" w:cs="Times New Roman"/>
          <w:sz w:val="24"/>
          <w:szCs w:val="24"/>
          <w:lang w:val="sr-Cyrl-RS"/>
        </w:rPr>
        <w:t>8,3%</w:t>
      </w:r>
      <w:r w:rsidR="008E2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MMF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dogovoreno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minimalno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96DBE" w:rsidRPr="002158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311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917787">
        <w:rPr>
          <w:rFonts w:ascii="Times New Roman" w:hAnsi="Times New Roman" w:cs="Times New Roman"/>
          <w:sz w:val="24"/>
          <w:szCs w:val="24"/>
          <w:lang w:val="sr-Cyrl-RS"/>
        </w:rPr>
        <w:t xml:space="preserve"> 8%.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Penzije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ostati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dogovorenog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cilja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blago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učešće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Najafirmativniji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razvojnu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nijansu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B04AF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3,6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3,7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elementa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195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multiplikatori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B77E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potrošnja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95F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nerealno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rezultatom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boljim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planiranog</w:t>
      </w:r>
      <w:r w:rsidR="00F632E0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5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86C2C" w:rsidRPr="002158FA" w:rsidRDefault="00195FB2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stavkama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uvećan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6,2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apeks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zajmovi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investiciona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 facto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realizivati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spremnosti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komitenata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povuku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neznatno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umanjen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kreditnu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namenjena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topioničarski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basen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429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ušao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restrukturiranja</w:t>
      </w:r>
      <w:r w:rsidR="002135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Zaostale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Elektroprivredi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reprogramom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izmirene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izmiruju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planirati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03D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završiti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69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1B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Generalno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4322B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3A188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poljoprivrednicima</w:t>
      </w:r>
      <w:r w:rsidR="00D84F6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mehanizacije</w:t>
      </w:r>
      <w:r w:rsidR="00D84F6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vezan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Razvojnu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agenciju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ostao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nepromenjenom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1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900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0BEA" w:rsidRPr="003A4289" w:rsidRDefault="00D84F62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C6D1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Predić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D0BE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ključna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detalja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vezana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C6D18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614F"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Vrednosno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gledano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konsolidaciju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Resavica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obaveznim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rezervama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naftnih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EE614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4,3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segmenta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zaštićenom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kupcu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stavke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90%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01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3A4289" w:rsidRPr="003A4289">
        <w:rPr>
          <w:rFonts w:ascii="Times New Roman" w:hAnsi="Times New Roman" w:cs="Times New Roman"/>
          <w:sz w:val="24"/>
          <w:szCs w:val="24"/>
          <w:lang w:val="sr-Cyrl-RS"/>
        </w:rPr>
        <w:t xml:space="preserve"> 28 -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A4289" w:rsidRP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3A4289" w:rsidRP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4289" w:rsidRP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40EF" w:rsidRPr="002158FA" w:rsidRDefault="00D84F62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Dokić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prošlu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738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razliku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prošlu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raspoređen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strategijama</w:t>
      </w:r>
      <w:r w:rsidR="002A40E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A4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resora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značajnoj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povećena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unapredio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tržišne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izvesna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značajnoj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funkcionišu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3F7C8E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1F60" w:rsidRDefault="00BA38CC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Renata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Pindžo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prepoznala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opravdano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dosadašnje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postignuti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ozbiljna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turistička</w:t>
      </w:r>
      <w:r w:rsidR="00AD1F60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destinacija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dolazaka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13%,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stranaca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18,5 %,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noćenja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10 %</w:t>
      </w:r>
      <w:r w:rsidR="009210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deviznog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priliva</w:t>
      </w:r>
      <w:r w:rsidR="00165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5C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31C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14%</w:t>
      </w:r>
      <w:r w:rsidR="00EC4DF1" w:rsidRPr="002158FA">
        <w:rPr>
          <w:rFonts w:ascii="Times New Roman" w:hAnsi="Times New Roman" w:cs="Times New Roman"/>
          <w:sz w:val="24"/>
          <w:szCs w:val="24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sumiranja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ostvareno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željenih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dolazaka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noćenja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devizni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priliv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1,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762F4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postojeće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dobri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podržani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većim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iznosom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EC4DF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BE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suprastrukture</w:t>
      </w:r>
      <w:r w:rsidR="006E3BE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tirističkim</w:t>
      </w:r>
      <w:r w:rsidR="00524B7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destinacijama</w:t>
      </w:r>
      <w:r w:rsidR="00221A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kreditna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273DB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preduzetnicima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ugostiteljskih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kategorija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posebno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hotela</w:t>
      </w:r>
      <w:r w:rsidR="00165C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smeštaj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ekspanziji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širom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prevazišao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dosadašnje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subvencionisanje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odmora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popularnim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vaučerima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80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884D0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prošlogodišnjeg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narastao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interesovanja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vraćeni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modifikovani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agencijama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organizovanih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325EE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uspešna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promotivna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Turistčke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segmentima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realizovanakroz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privatno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gledano</w:t>
      </w:r>
      <w:r w:rsidR="009E55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razvojni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276973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5CB6" w:rsidRDefault="00165CB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CB6" w:rsidRDefault="00165CB6" w:rsidP="00165CB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91225" w:rsidRDefault="00891225" w:rsidP="00165CB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0B8" w:rsidRDefault="00165CB6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realno</w:t>
      </w:r>
      <w:r w:rsidR="008B73CD"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predviđanje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B73CD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izostaje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kreditna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254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2D21" w:rsidRDefault="00B02D21" w:rsidP="00B02D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Kzahstanom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Rusijom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Kinom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potencijalnim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partnerima</w:t>
      </w:r>
      <w:r w:rsidR="003E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FF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3E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3E6FF3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00B8" w:rsidRDefault="002D00B8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oštrija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kolektora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tunela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Kriveljske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7772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65EB" w:rsidRPr="002158FA" w:rsidRDefault="001465EB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realizovati</w:t>
      </w:r>
      <w:r w:rsidRPr="002158FA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pilot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umanjenja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kakve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kratkoročne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projekcije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81C5C" w:rsidRPr="002158FA" w:rsidRDefault="008E4C95" w:rsidP="00F81C5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fid</w:t>
      </w:r>
      <w:r w:rsidR="00F81C5C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tarifama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F81C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F81C5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4C95" w:rsidRDefault="003E6FF3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8E4C9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E4C9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E4C95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1225" w:rsidRPr="002158FA" w:rsidRDefault="00891225" w:rsidP="0089122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namenjena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punoletstva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1225" w:rsidRPr="002158FA" w:rsidRDefault="00891225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3ED" w:rsidRDefault="0043781D" w:rsidP="002D00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B90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podrazumevala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toni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1500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proizvedenih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35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prosečna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prodajna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05D6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6200-6300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toni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značilo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proizvodna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koštanja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05D64">
        <w:rPr>
          <w:rFonts w:ascii="Times New Roman" w:hAnsi="Times New Roman" w:cs="Times New Roman"/>
          <w:sz w:val="24"/>
          <w:szCs w:val="24"/>
          <w:lang w:val="sr-Cyrl-RS"/>
        </w:rPr>
        <w:t xml:space="preserve"> 4700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4800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toni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nerealno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koštanja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7000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toni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premaši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računati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prošlosti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dostizala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02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toni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“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beležio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73B1C">
        <w:rPr>
          <w:rFonts w:ascii="Times New Roman" w:hAnsi="Times New Roman" w:cs="Times New Roman"/>
          <w:sz w:val="24"/>
          <w:szCs w:val="24"/>
          <w:lang w:val="sr-Cyrl-RS"/>
        </w:rPr>
        <w:t xml:space="preserve"> 70-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80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2014, 20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zvaničnim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poslati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gubicima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tekućeg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330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Procenjena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afirmativna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tolika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pripremljenim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95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samostalno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pokriva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proističu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tekućeg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28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F3B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anuitete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EDC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kontardiktorno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poslovna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UPPR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dužno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3781D" w:rsidRDefault="00D513ED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1F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 xml:space="preserve"> 440,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05</w:t>
      </w:r>
      <w:r w:rsidR="00A3547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Programska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5001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tunela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kolektora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Kriveljske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klasifikacija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511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građevinski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500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kolektor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Kriveljske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prvorazrednog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64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Sredinom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decenije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postojao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ekoloških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šteta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nastalih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stogodišnjim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rudarenjem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12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namenjeno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kolektora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trajao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tender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kolektora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potrošen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povučen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kolektora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uloženo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utrošena</w:t>
      </w:r>
      <w:r w:rsidR="00CE55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izaziva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sumnju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transparentno</w:t>
      </w:r>
      <w:r w:rsidR="002D00B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129CB" w:rsidRDefault="006129CB" w:rsidP="006129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devizne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prilive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zlato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namenjeno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rezervama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0,8 %,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5000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235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koncentrata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900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rudarske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razvijanje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strateški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partner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zahvalnost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29CB" w:rsidRPr="002158FA" w:rsidRDefault="006129CB" w:rsidP="002158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1D6" w:rsidRPr="002158FA" w:rsidRDefault="008E4C95" w:rsidP="00CA51D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poslovnom</w:t>
      </w:r>
      <w:r w:rsidR="00891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rezultatu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rezultatu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tekućih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obračuna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kamata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amortizacije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ispravki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isplaćuje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E2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tekućeg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pokrića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ostvarenih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očekivanja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28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dolara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predviđenih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anuiteta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C03F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EDC</w:t>
      </w:r>
      <w:r w:rsidR="00C03F22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0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7418CE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izdata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garancija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F3D8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izmiriće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0F3D8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umanjenja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3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F91B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iskorišćen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175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penzije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kapitalne</w:t>
      </w:r>
      <w:r w:rsidR="00E0557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F30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iskorišćen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prihodnu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trošenje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naplata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rastereti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Intervencija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prihodne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disperzovana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91B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odlučivalo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poreskog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opterećenja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relativno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posmatrano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konkurentna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PDV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indirektni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akcize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direktni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porezi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D86F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poresko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opterećenje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doprinose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celishodno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poresko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opterećenje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F30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umanjeno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735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cenzus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neoporezivog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FD5F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sadašnji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cenzus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8E103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103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oporezuje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11 79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62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cenzus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poresko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opterećenje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srazmerno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nižih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65D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poresko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opterećenje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manjih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procentualno</w:t>
      </w:r>
      <w:r w:rsidR="00274FD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posmatrano</w:t>
      </w:r>
      <w:r w:rsidR="00274FD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74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relaksirano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motivisati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poslodavce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ohrabriti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investitore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investiraju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konkurentnost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54BE7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intenzivno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traga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doveo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interesovanja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topionicu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uloženo</w:t>
      </w:r>
      <w:r w:rsidR="00B54BE7" w:rsidRP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B54B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dostignut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zadovoljavajući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poboljšati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rude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bakra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Usko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grlo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1C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usmerene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obnovljivih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2030.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5E8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1E2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Regulatorni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povoljniji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efikasnom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fid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tarife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3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9C7834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Izdvajanje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dete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resornog</w:t>
      </w:r>
      <w:r w:rsidR="00CA51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A51D6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1A9C" w:rsidRPr="002158FA" w:rsidRDefault="009C7834" w:rsidP="001B0B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rezulati</w:t>
      </w:r>
      <w:r w:rsidR="000F75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0F75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75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F751B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izvanredni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295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suficit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75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raspravama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vođenim</w:t>
      </w:r>
      <w:r w:rsidR="000F75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kreiranih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planiranog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ambiciozan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realan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efikasna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3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="00653EE6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planiranog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uticala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viša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sila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predviđana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sektorima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izdvajanja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sektore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23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opravdana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unaprediće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poslovnu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klimu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dividendi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prohoda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EE1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05931">
        <w:rPr>
          <w:rFonts w:ascii="Times New Roman" w:hAnsi="Times New Roman" w:cs="Times New Roman"/>
          <w:sz w:val="24"/>
          <w:szCs w:val="24"/>
        </w:rPr>
        <w:t>e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 w:rsidR="00EE190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05931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negativan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boljih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rezulatata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opreznog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E7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B0C5F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1A9C" w:rsidRPr="002158FA" w:rsidRDefault="00EE5755" w:rsidP="00EE575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Studenka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1A9C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Mijailović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Predić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Dokić</w:t>
      </w:r>
      <w:r w:rsidR="002158FA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Renata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Pindžo</w:t>
      </w:r>
      <w:r w:rsidR="00F43483"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58FA" w:rsidRPr="002158FA" w:rsidRDefault="002158FA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58FA" w:rsidRPr="002158FA" w:rsidRDefault="002158FA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5755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21–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51D6" w:rsidRDefault="002158FA" w:rsidP="00CA5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51D6" w:rsidRDefault="00CA51D6" w:rsidP="00CA5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Default="005776D2" w:rsidP="00CA5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CA5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CA5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CA51D6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A51D6" w:rsidRPr="00215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51D6" w:rsidRPr="002158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CA51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CA51D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A51D6" w:rsidRDefault="00CA51D6" w:rsidP="00CA5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1401B" w:rsidRDefault="001B0B2C" w:rsidP="001B0B2C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izvestio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NR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Kini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Svekineskog</w:t>
      </w:r>
      <w:r w:rsidR="00D1401B" w:rsidRPr="00D1401B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narodnog</w:t>
      </w:r>
      <w:r w:rsidR="00D1401B" w:rsidRPr="00D1401B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kongresa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prijateljstva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Srbijom</w:t>
      </w:r>
      <w:r w:rsidR="00D1401B" w:rsidRPr="00D140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delegaciju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posetila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Svekineskog</w:t>
      </w:r>
      <w:r w:rsidR="00212F97" w:rsidRPr="00D1401B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narodnog</w:t>
      </w:r>
      <w:r w:rsidR="00212F97" w:rsidRPr="00D1401B">
        <w:rPr>
          <w:rFonts w:ascii="Times New Roman" w:hAnsi="Times New Roman" w:cs="Times New Roman"/>
          <w:sz w:val="24"/>
          <w:szCs w:val="24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</w:rPr>
        <w:t>kongresa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obostrano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korisna</w:t>
      </w:r>
      <w:r w:rsidR="00D140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025967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C2A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59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59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0259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0259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2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4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23978" w:rsidRPr="005776D2" w:rsidRDefault="00923978" w:rsidP="00577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978" w:rsidRPr="002158FA" w:rsidRDefault="00F30A1E" w:rsidP="00F3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8E1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23978" w:rsidRPr="002158FA" w:rsidRDefault="00923978" w:rsidP="00215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081" w:rsidRPr="002158FA" w:rsidRDefault="00594C2A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5776D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23978"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76D2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BB0C5F" w:rsidRPr="002158FA" w:rsidRDefault="00BB0C5F" w:rsidP="00215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B0C5F" w:rsidRPr="002158FA" w:rsidSect="00BE2492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47" w:rsidRDefault="00EC6547" w:rsidP="002158FA">
      <w:pPr>
        <w:spacing w:after="0" w:line="240" w:lineRule="auto"/>
      </w:pPr>
      <w:r>
        <w:separator/>
      </w:r>
    </w:p>
  </w:endnote>
  <w:endnote w:type="continuationSeparator" w:id="0">
    <w:p w:rsidR="00EC6547" w:rsidRDefault="00EC6547" w:rsidP="0021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47" w:rsidRDefault="00EC6547" w:rsidP="002158FA">
      <w:pPr>
        <w:spacing w:after="0" w:line="240" w:lineRule="auto"/>
      </w:pPr>
      <w:r>
        <w:separator/>
      </w:r>
    </w:p>
  </w:footnote>
  <w:footnote w:type="continuationSeparator" w:id="0">
    <w:p w:rsidR="00EC6547" w:rsidRDefault="00EC6547" w:rsidP="0021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7002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1D6" w:rsidRDefault="00CA51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6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51D6" w:rsidRDefault="00CA5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F"/>
    <w:rsid w:val="00025967"/>
    <w:rsid w:val="00030619"/>
    <w:rsid w:val="000331C4"/>
    <w:rsid w:val="0004271C"/>
    <w:rsid w:val="0005747C"/>
    <w:rsid w:val="000810F7"/>
    <w:rsid w:val="000B293A"/>
    <w:rsid w:val="000C6D18"/>
    <w:rsid w:val="000E1758"/>
    <w:rsid w:val="000F3D87"/>
    <w:rsid w:val="000F751B"/>
    <w:rsid w:val="0010691B"/>
    <w:rsid w:val="001465EB"/>
    <w:rsid w:val="00157081"/>
    <w:rsid w:val="00165CB6"/>
    <w:rsid w:val="00180D32"/>
    <w:rsid w:val="00185CCE"/>
    <w:rsid w:val="00195F94"/>
    <w:rsid w:val="00195FB2"/>
    <w:rsid w:val="001A256D"/>
    <w:rsid w:val="001B0B2C"/>
    <w:rsid w:val="001C1FC4"/>
    <w:rsid w:val="001C343D"/>
    <w:rsid w:val="001D0A8F"/>
    <w:rsid w:val="001D1CEA"/>
    <w:rsid w:val="001E0266"/>
    <w:rsid w:val="001E2A9E"/>
    <w:rsid w:val="001F4EA2"/>
    <w:rsid w:val="00212F97"/>
    <w:rsid w:val="00213573"/>
    <w:rsid w:val="002158FA"/>
    <w:rsid w:val="00221A43"/>
    <w:rsid w:val="00273DB6"/>
    <w:rsid w:val="00274FD4"/>
    <w:rsid w:val="00276973"/>
    <w:rsid w:val="0027772C"/>
    <w:rsid w:val="00295E84"/>
    <w:rsid w:val="002A40EF"/>
    <w:rsid w:val="002D00B8"/>
    <w:rsid w:val="002D4BA5"/>
    <w:rsid w:val="002E3AA2"/>
    <w:rsid w:val="002F3BD6"/>
    <w:rsid w:val="00325EE5"/>
    <w:rsid w:val="00350247"/>
    <w:rsid w:val="003A188F"/>
    <w:rsid w:val="003A4289"/>
    <w:rsid w:val="003B21D6"/>
    <w:rsid w:val="003D00B0"/>
    <w:rsid w:val="003E200E"/>
    <w:rsid w:val="003E4F26"/>
    <w:rsid w:val="003E5B24"/>
    <w:rsid w:val="003E6FF3"/>
    <w:rsid w:val="003F5279"/>
    <w:rsid w:val="003F7C8E"/>
    <w:rsid w:val="004232A9"/>
    <w:rsid w:val="004322BB"/>
    <w:rsid w:val="00433E7F"/>
    <w:rsid w:val="0043781D"/>
    <w:rsid w:val="00443238"/>
    <w:rsid w:val="00447D44"/>
    <w:rsid w:val="00471A81"/>
    <w:rsid w:val="00477636"/>
    <w:rsid w:val="00491C51"/>
    <w:rsid w:val="004C3112"/>
    <w:rsid w:val="004E56AD"/>
    <w:rsid w:val="00524B72"/>
    <w:rsid w:val="00562951"/>
    <w:rsid w:val="005776D2"/>
    <w:rsid w:val="00594C2A"/>
    <w:rsid w:val="005C55D2"/>
    <w:rsid w:val="005D1093"/>
    <w:rsid w:val="005E2A18"/>
    <w:rsid w:val="00601C02"/>
    <w:rsid w:val="006129CB"/>
    <w:rsid w:val="00617C82"/>
    <w:rsid w:val="00653EE6"/>
    <w:rsid w:val="0066111E"/>
    <w:rsid w:val="00681A9C"/>
    <w:rsid w:val="00681B2C"/>
    <w:rsid w:val="00693D91"/>
    <w:rsid w:val="006A0ED2"/>
    <w:rsid w:val="006E3BE8"/>
    <w:rsid w:val="00711145"/>
    <w:rsid w:val="0071512C"/>
    <w:rsid w:val="0071735C"/>
    <w:rsid w:val="007418CE"/>
    <w:rsid w:val="00762F42"/>
    <w:rsid w:val="007935EC"/>
    <w:rsid w:val="00796DBE"/>
    <w:rsid w:val="007A51E5"/>
    <w:rsid w:val="007D7929"/>
    <w:rsid w:val="007F644C"/>
    <w:rsid w:val="00846579"/>
    <w:rsid w:val="008476B4"/>
    <w:rsid w:val="00852187"/>
    <w:rsid w:val="008556C9"/>
    <w:rsid w:val="00884D07"/>
    <w:rsid w:val="00891225"/>
    <w:rsid w:val="008A2545"/>
    <w:rsid w:val="008B73CD"/>
    <w:rsid w:val="008C3CCE"/>
    <w:rsid w:val="008E103F"/>
    <w:rsid w:val="008E2799"/>
    <w:rsid w:val="008E4C95"/>
    <w:rsid w:val="008F1F7E"/>
    <w:rsid w:val="008F48A3"/>
    <w:rsid w:val="00905D64"/>
    <w:rsid w:val="00917787"/>
    <w:rsid w:val="00921015"/>
    <w:rsid w:val="00923978"/>
    <w:rsid w:val="00952EA0"/>
    <w:rsid w:val="0098278C"/>
    <w:rsid w:val="00986C2C"/>
    <w:rsid w:val="009A6EFE"/>
    <w:rsid w:val="009C47F7"/>
    <w:rsid w:val="009C7834"/>
    <w:rsid w:val="009E550C"/>
    <w:rsid w:val="00A3547C"/>
    <w:rsid w:val="00A65BF9"/>
    <w:rsid w:val="00AD1F60"/>
    <w:rsid w:val="00AE202A"/>
    <w:rsid w:val="00B02D21"/>
    <w:rsid w:val="00B04AFF"/>
    <w:rsid w:val="00B12454"/>
    <w:rsid w:val="00B138B7"/>
    <w:rsid w:val="00B207E8"/>
    <w:rsid w:val="00B242B9"/>
    <w:rsid w:val="00B54BE7"/>
    <w:rsid w:val="00B61B7A"/>
    <w:rsid w:val="00B77E06"/>
    <w:rsid w:val="00B83752"/>
    <w:rsid w:val="00B900A8"/>
    <w:rsid w:val="00BA0163"/>
    <w:rsid w:val="00BA38CC"/>
    <w:rsid w:val="00BB0C5F"/>
    <w:rsid w:val="00BD585A"/>
    <w:rsid w:val="00BE2492"/>
    <w:rsid w:val="00C03D59"/>
    <w:rsid w:val="00C03F22"/>
    <w:rsid w:val="00C074AE"/>
    <w:rsid w:val="00C429D4"/>
    <w:rsid w:val="00C62C36"/>
    <w:rsid w:val="00C72425"/>
    <w:rsid w:val="00CA51D6"/>
    <w:rsid w:val="00CC10C0"/>
    <w:rsid w:val="00CE5569"/>
    <w:rsid w:val="00D05931"/>
    <w:rsid w:val="00D07587"/>
    <w:rsid w:val="00D1401B"/>
    <w:rsid w:val="00D374B5"/>
    <w:rsid w:val="00D513ED"/>
    <w:rsid w:val="00D55B3F"/>
    <w:rsid w:val="00D84F62"/>
    <w:rsid w:val="00D86F58"/>
    <w:rsid w:val="00DA3F5B"/>
    <w:rsid w:val="00DA5E78"/>
    <w:rsid w:val="00DD24D2"/>
    <w:rsid w:val="00E03966"/>
    <w:rsid w:val="00E0557B"/>
    <w:rsid w:val="00E117CE"/>
    <w:rsid w:val="00E36E10"/>
    <w:rsid w:val="00E625A1"/>
    <w:rsid w:val="00E63A50"/>
    <w:rsid w:val="00E672A1"/>
    <w:rsid w:val="00E73B1C"/>
    <w:rsid w:val="00E761A9"/>
    <w:rsid w:val="00EC41BA"/>
    <w:rsid w:val="00EC4DF1"/>
    <w:rsid w:val="00EC6547"/>
    <w:rsid w:val="00ED0BEA"/>
    <w:rsid w:val="00ED1651"/>
    <w:rsid w:val="00ED28F6"/>
    <w:rsid w:val="00ED3B8B"/>
    <w:rsid w:val="00EE1908"/>
    <w:rsid w:val="00EE5755"/>
    <w:rsid w:val="00EE614F"/>
    <w:rsid w:val="00EE787A"/>
    <w:rsid w:val="00F03D67"/>
    <w:rsid w:val="00F165D1"/>
    <w:rsid w:val="00F30A1E"/>
    <w:rsid w:val="00F43483"/>
    <w:rsid w:val="00F50E9F"/>
    <w:rsid w:val="00F632E0"/>
    <w:rsid w:val="00F81C5C"/>
    <w:rsid w:val="00F867F7"/>
    <w:rsid w:val="00F91B1B"/>
    <w:rsid w:val="00F9584D"/>
    <w:rsid w:val="00FB3597"/>
    <w:rsid w:val="00FD5F16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1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FA"/>
  </w:style>
  <w:style w:type="paragraph" w:styleId="Footer">
    <w:name w:val="footer"/>
    <w:basedOn w:val="Normal"/>
    <w:link w:val="Foot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1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FA"/>
  </w:style>
  <w:style w:type="paragraph" w:styleId="Footer">
    <w:name w:val="footer"/>
    <w:basedOn w:val="Normal"/>
    <w:link w:val="FooterChar"/>
    <w:uiPriority w:val="99"/>
    <w:unhideWhenUsed/>
    <w:rsid w:val="002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6FF0-4063-419C-BDB2-2F711127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6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Nenadovic</dc:creator>
  <cp:lastModifiedBy>Sandra Stankovic</cp:lastModifiedBy>
  <cp:revision>19</cp:revision>
  <dcterms:created xsi:type="dcterms:W3CDTF">2017-12-12T13:28:00Z</dcterms:created>
  <dcterms:modified xsi:type="dcterms:W3CDTF">2018-06-08T09:18:00Z</dcterms:modified>
</cp:coreProperties>
</file>